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3F9C" w:rsidRDefault="0024498B">
      <w:pPr>
        <w:spacing w:before="240" w:after="0" w:line="276" w:lineRule="auto"/>
        <w:ind w:left="2" w:hanging="4"/>
        <w:rPr>
          <w:rFonts w:ascii="Arial" w:eastAsia="Arial" w:hAnsi="Arial" w:cs="Arial"/>
          <w:b/>
          <w:sz w:val="36"/>
          <w:szCs w:val="36"/>
        </w:rPr>
      </w:pPr>
      <w:r>
        <w:rPr>
          <w:rFonts w:ascii="Arial" w:eastAsia="Arial" w:hAnsi="Arial" w:cs="Arial"/>
          <w:b/>
          <w:sz w:val="36"/>
          <w:szCs w:val="36"/>
        </w:rPr>
        <w:t>C</w:t>
      </w:r>
      <w:r w:rsidR="003D2E17">
        <w:rPr>
          <w:rFonts w:ascii="Arial" w:eastAsia="Arial" w:hAnsi="Arial" w:cs="Arial"/>
          <w:b/>
          <w:sz w:val="36"/>
          <w:szCs w:val="36"/>
        </w:rPr>
        <w:t>all-off Schedule 5 (Pricing Details)</w:t>
      </w:r>
    </w:p>
    <w:p w:rsidR="00403F9C" w:rsidRDefault="003D2E17">
      <w:pPr>
        <w:spacing w:before="240" w:after="0" w:line="276" w:lineRule="auto"/>
        <w:ind w:left="2" w:hanging="4"/>
        <w:rPr>
          <w:rFonts w:ascii="Arial" w:eastAsia="Arial" w:hAnsi="Arial" w:cs="Arial"/>
          <w:b/>
          <w:sz w:val="36"/>
          <w:szCs w:val="36"/>
        </w:rPr>
      </w:pPr>
      <w:bookmarkStart w:id="0" w:name="_heading=h.1y810tw" w:colFirst="0" w:colLast="0"/>
      <w:bookmarkEnd w:id="0"/>
      <w:r>
        <w:rPr>
          <w:rFonts w:ascii="Arial" w:eastAsia="Arial" w:hAnsi="Arial" w:cs="Arial"/>
          <w:b/>
          <w:sz w:val="36"/>
          <w:szCs w:val="36"/>
        </w:rPr>
        <w:t>Part A – Fixed Fee Pricing</w:t>
      </w:r>
    </w:p>
    <w:p w:rsidR="00403F9C" w:rsidRDefault="00403F9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rsidR="00403F9C" w:rsidRDefault="003D2E17">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1" w:name="_heading=h.z337ya" w:colFirst="0" w:colLast="0"/>
      <w:bookmarkEnd w:id="1"/>
      <w:r>
        <w:rPr>
          <w:rFonts w:ascii="Arial" w:eastAsia="Arial" w:hAnsi="Arial" w:cs="Arial"/>
          <w:color w:val="000000"/>
          <w:sz w:val="24"/>
          <w:szCs w:val="24"/>
        </w:rPr>
        <w:t>This part of this schedule shall apply where the Fixed Fee Pricing option is selected in the Order Form.</w:t>
      </w: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2" w:name="_heading=h.gjdgxs" w:colFirst="0" w:colLast="0"/>
      <w:bookmarkEnd w:id="2"/>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rsidR="00403F9C" w:rsidRDefault="003D2E17">
      <w:pPr>
        <w:numPr>
          <w:ilvl w:val="2"/>
          <w:numId w:val="1"/>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 and based on the principles in Annex 1; </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paid in respect of Service Months for full and proper performance by the Supplier of its obligations under the Call-Off Contract; and</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rsidR="00403F9C" w:rsidRDefault="009228FF">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color w:val="000000"/>
          <w:sz w:val="24"/>
          <w:szCs w:val="24"/>
        </w:rPr>
        <w:pict w14:anchorId="7535F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0" o:spid="_x0000_i1025" type="#_x0000_t75" style="width:221.5pt;height:17pt;visibility:visible">
            <v:imagedata r:id="rId8" o:title=""/>
            <v:path o:extrusionok="t"/>
          </v:shape>
        </w:pict>
      </w:r>
    </w:p>
    <w:p w:rsidR="00403F9C" w:rsidRDefault="003D2E17">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f2"/>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403F9C">
        <w:tc>
          <w:tcPr>
            <w:tcW w:w="1134" w:type="dxa"/>
            <w:tcBorders>
              <w:top w:val="single" w:sz="4" w:space="0" w:color="000000"/>
              <w:left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Monthly Payment to be determined in respect of the Service Month “n”;</w:t>
            </w:r>
          </w:p>
        </w:tc>
      </w:tr>
      <w:tr w:rsidR="00403F9C">
        <w:tc>
          <w:tcPr>
            <w:tcW w:w="1134" w:type="dxa"/>
            <w:tcBorders>
              <w:left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Baseline Monthly Payment for Service Month “n” which is calculated in accordance with paragraph 2 below;</w:t>
            </w:r>
          </w:p>
        </w:tc>
      </w:tr>
      <w:tr w:rsidR="00403F9C">
        <w:tc>
          <w:tcPr>
            <w:tcW w:w="1134" w:type="dxa"/>
            <w:tcBorders>
              <w:left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 xml:space="preserve">is the </w:t>
            </w:r>
            <w:proofErr w:type="gramStart"/>
            <w:r>
              <w:rPr>
                <w:rFonts w:ascii="Arial" w:eastAsia="Arial" w:hAnsi="Arial" w:cs="Arial"/>
                <w:b w:val="0"/>
                <w:color w:val="000000"/>
                <w:sz w:val="24"/>
                <w:szCs w:val="24"/>
              </w:rPr>
              <w:t>Pass Through</w:t>
            </w:r>
            <w:proofErr w:type="gramEnd"/>
            <w:r>
              <w:rPr>
                <w:rFonts w:ascii="Arial" w:eastAsia="Arial" w:hAnsi="Arial" w:cs="Arial"/>
                <w:b w:val="0"/>
                <w:color w:val="000000"/>
                <w:sz w:val="24"/>
                <w:szCs w:val="24"/>
              </w:rPr>
              <w:t xml:space="preserve"> Costs due in respect of the Previous Service Month which is calculated in accordance with paragraph 3 below; </w:t>
            </w:r>
          </w:p>
        </w:tc>
      </w:tr>
      <w:tr w:rsidR="00403F9C">
        <w:tc>
          <w:tcPr>
            <w:tcW w:w="1134" w:type="dxa"/>
            <w:tcBorders>
              <w:left w:val="single" w:sz="4" w:space="0" w:color="000000"/>
              <w:bottom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total price for Work Orders which have been completed in the Previous Service Month which shall be calculated in accordance with paragraph 4 below;</w:t>
            </w:r>
          </w:p>
        </w:tc>
      </w:tr>
      <w:tr w:rsidR="00403F9C">
        <w:trPr>
          <w:trHeight w:val="567"/>
        </w:trPr>
        <w:tc>
          <w:tcPr>
            <w:tcW w:w="1134" w:type="dxa"/>
            <w:tcBorders>
              <w:top w:val="single" w:sz="4" w:space="0" w:color="000000"/>
              <w:left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rsidR="00403F9C" w:rsidRDefault="00403F9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rsidR="00403F9C" w:rsidRDefault="003D2E17">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monthly TUPE risk premium payable for the Previous Service Month calculated in accordance with Call-Off Schedule 6 (TUPE Surcharge) ("Monthly TUPE Risk Premium") and</w:t>
            </w:r>
          </w:p>
        </w:tc>
      </w:tr>
      <w:tr w:rsidR="00403F9C">
        <w:tc>
          <w:tcPr>
            <w:tcW w:w="1134" w:type="dxa"/>
            <w:tcBorders>
              <w:top w:val="single" w:sz="4" w:space="0" w:color="000000"/>
              <w:left w:val="single" w:sz="4" w:space="0" w:color="000000"/>
              <w:bottom w:val="single" w:sz="4" w:space="0" w:color="000000"/>
            </w:tcBorders>
          </w:tcPr>
          <w:p w:rsidR="00403F9C" w:rsidRDefault="003D2E17">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rsidR="00403F9C" w:rsidRDefault="003D2E17">
            <w:pPr>
              <w:pBdr>
                <w:top w:val="nil"/>
                <w:left w:val="nil"/>
                <w:bottom w:val="nil"/>
                <w:right w:val="nil"/>
                <w:between w:val="nil"/>
              </w:pBdr>
              <w:spacing w:after="12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KPI Credit in respect of the Previous Service Month off set against the Earn Back Amount due (if applicable) for the current Service Month (or where the Order Form states that KPIs are not applicable then PA</w:t>
            </w:r>
            <w:r>
              <w:rPr>
                <w:rFonts w:ascii="Arial" w:eastAsia="Arial" w:hAnsi="Arial" w:cs="Arial"/>
                <w:b w:val="0"/>
                <w:color w:val="000000"/>
                <w:sz w:val="24"/>
                <w:szCs w:val="24"/>
                <w:vertAlign w:val="subscript"/>
              </w:rPr>
              <w:t>n-1</w:t>
            </w:r>
            <w:r>
              <w:rPr>
                <w:rFonts w:ascii="Arial" w:eastAsia="Arial" w:hAnsi="Arial" w:cs="Arial"/>
                <w:b w:val="0"/>
                <w:color w:val="000000"/>
                <w:sz w:val="24"/>
                <w:szCs w:val="24"/>
              </w:rPr>
              <w:t xml:space="preserve"> shall be deemed to be £0).</w:t>
            </w:r>
          </w:p>
          <w:p w:rsidR="00403F9C" w:rsidRDefault="00403F9C">
            <w:pPr>
              <w:pBdr>
                <w:top w:val="nil"/>
                <w:left w:val="nil"/>
                <w:bottom w:val="nil"/>
                <w:right w:val="nil"/>
                <w:between w:val="nil"/>
              </w:pBdr>
              <w:spacing w:after="120" w:line="240" w:lineRule="auto"/>
              <w:ind w:left="0" w:hanging="2"/>
              <w:rPr>
                <w:rFonts w:ascii="Arial" w:eastAsia="Arial" w:hAnsi="Arial" w:cs="Arial"/>
                <w:b w:val="0"/>
                <w:color w:val="000000"/>
                <w:sz w:val="24"/>
                <w:szCs w:val="24"/>
              </w:rPr>
            </w:pPr>
          </w:p>
        </w:tc>
      </w:tr>
    </w:tbl>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403F9C" w:rsidRDefault="009228FF">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pict>
          <v:shape id="_x0000_i1026" type="#_x0000_t75" style="width:248pt;height:16pt;visibility:visible">
            <v:imagedata r:id="rId9" o:title=""/>
            <v:path o:extrusionok="t"/>
          </v:shape>
        </w:pic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rsidR="00403F9C" w:rsidRDefault="003D2E17">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only those types of Pass Through Costs set out in the Order Form shall be recoverable;</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not be entitled to charge any additional amount on top of 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including any margin, mark up or uplift costs; and</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any claim for Pass Through Costs shall be supported by such documentation as the Buyer may request from time to time.</w:t>
      </w: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rsidR="00403F9C" w:rsidRDefault="003D2E17">
      <w:pPr>
        <w:numPr>
          <w:ilvl w:val="2"/>
          <w:numId w:val="1"/>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rsidR="00403F9C" w:rsidRDefault="003D2E17">
      <w:pPr>
        <w:numPr>
          <w:ilvl w:val="2"/>
          <w:numId w:val="1"/>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 xml:space="preserve">Pricing </w:t>
      </w:r>
      <w:proofErr w:type="gramStart"/>
      <w:r>
        <w:rPr>
          <w:rFonts w:ascii="Arial" w:eastAsia="Arial" w:hAnsi="Arial" w:cs="Arial"/>
          <w:b/>
          <w:sz w:val="24"/>
          <w:szCs w:val="24"/>
        </w:rPr>
        <w:t>For</w:t>
      </w:r>
      <w:proofErr w:type="gramEnd"/>
      <w:r>
        <w:rPr>
          <w:rFonts w:ascii="Arial" w:eastAsia="Arial" w:hAnsi="Arial" w:cs="Arial"/>
          <w:b/>
          <w:sz w:val="24"/>
          <w:szCs w:val="24"/>
        </w:rPr>
        <w:t xml:space="preserve"> Variations</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rsidR="00403F9C" w:rsidRDefault="003D2E17">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w:t>
      </w:r>
      <w:proofErr w:type="gramStart"/>
      <w:r>
        <w:rPr>
          <w:rFonts w:ascii="Arial" w:eastAsia="Arial" w:hAnsi="Arial" w:cs="Arial"/>
          <w:color w:val="000000"/>
          <w:sz w:val="24"/>
          <w:szCs w:val="24"/>
        </w:rPr>
        <w:t>the  Call</w:t>
      </w:r>
      <w:proofErr w:type="gramEnd"/>
      <w:r>
        <w:rPr>
          <w:rFonts w:ascii="Arial" w:eastAsia="Arial" w:hAnsi="Arial" w:cs="Arial"/>
          <w:color w:val="000000"/>
          <w:sz w:val="24"/>
          <w:szCs w:val="24"/>
        </w:rPr>
        <w:t xml:space="preserve">-Off Contract, was incorrect; </w:t>
      </w:r>
    </w:p>
    <w:p w:rsidR="00403F9C" w:rsidRDefault="003D2E17">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403F9C" w:rsidRDefault="003D2E17">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 xml:space="preserve">Changes </w:t>
      </w:r>
      <w:proofErr w:type="gramStart"/>
      <w:r>
        <w:rPr>
          <w:rFonts w:ascii="Arial" w:eastAsia="Arial" w:hAnsi="Arial" w:cs="Arial"/>
          <w:b/>
          <w:sz w:val="24"/>
          <w:szCs w:val="24"/>
        </w:rPr>
        <w:t>To</w:t>
      </w:r>
      <w:proofErr w:type="gramEnd"/>
      <w:r>
        <w:rPr>
          <w:rFonts w:ascii="Arial" w:eastAsia="Arial" w:hAnsi="Arial" w:cs="Arial"/>
          <w:b/>
          <w:sz w:val="24"/>
          <w:szCs w:val="24"/>
        </w:rPr>
        <w:t xml:space="preserve"> Minimum / Living Wage</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rsidR="00403F9C" w:rsidRDefault="003D2E17">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p>
    <w:p w:rsidR="00403F9C" w:rsidRDefault="003D2E17">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403F9C" w:rsidRDefault="00403F9C">
      <w:pPr>
        <w:pBdr>
          <w:top w:val="nil"/>
          <w:left w:val="nil"/>
          <w:bottom w:val="nil"/>
          <w:right w:val="nil"/>
          <w:between w:val="nil"/>
        </w:pBdr>
        <w:spacing w:line="240" w:lineRule="auto"/>
        <w:ind w:left="0" w:hanging="2"/>
        <w:rPr>
          <w:rFonts w:ascii="Arial" w:eastAsia="Arial" w:hAnsi="Arial" w:cs="Arial"/>
          <w:sz w:val="24"/>
          <w:szCs w:val="24"/>
        </w:rPr>
      </w:pPr>
    </w:p>
    <w:p w:rsidR="00403F9C" w:rsidRDefault="003D2E17">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rsidR="00403F9C" w:rsidRDefault="003D2E17">
      <w:pPr>
        <w:keepNext/>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rsidR="00403F9C" w:rsidRDefault="003D2E17">
      <w:pPr>
        <w:keepNext/>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rsidR="00403F9C" w:rsidRDefault="003D2E17">
      <w:pPr>
        <w:keepNext/>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rsidR="00403F9C" w:rsidRDefault="003D2E17">
      <w:pPr>
        <w:keepNext/>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rsidR="00403F9C" w:rsidRDefault="003D2E17">
      <w:pPr>
        <w:keepNext/>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rsidR="00403F9C" w:rsidRDefault="003D2E17">
      <w:pPr>
        <w:spacing w:after="0" w:line="240" w:lineRule="auto"/>
        <w:ind w:left="0" w:hanging="2"/>
        <w:jc w:val="left"/>
        <w:rPr>
          <w:rFonts w:ascii="Arial" w:eastAsia="Arial" w:hAnsi="Arial" w:cs="Arial"/>
          <w:sz w:val="24"/>
          <w:szCs w:val="24"/>
        </w:rPr>
        <w:sectPr w:rsidR="00403F9C">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440" w:left="1440" w:header="706" w:footer="706" w:gutter="0"/>
          <w:pgNumType w:start="1"/>
          <w:cols w:space="720"/>
          <w:titlePg/>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rsidR="00403F9C" w:rsidRDefault="003D2E17">
      <w:pPr>
        <w:spacing w:before="240" w:line="240" w:lineRule="auto"/>
        <w:ind w:left="0" w:hanging="2"/>
        <w:jc w:val="center"/>
        <w:rPr>
          <w:rFonts w:ascii="Arial" w:eastAsia="Arial" w:hAnsi="Arial" w:cs="Arial"/>
          <w:b/>
          <w:sz w:val="24"/>
          <w:szCs w:val="24"/>
        </w:rPr>
      </w:pPr>
      <w:r>
        <w:rPr>
          <w:rFonts w:ascii="Arial" w:eastAsia="Arial" w:hAnsi="Arial" w:cs="Arial"/>
          <w:b/>
          <w:sz w:val="24"/>
          <w:szCs w:val="24"/>
        </w:rPr>
        <w:lastRenderedPageBreak/>
        <w:t>Annex 1 – Further Competition Pricing Matrix Principles</w:t>
      </w:r>
    </w:p>
    <w:p w:rsidR="00403F9C" w:rsidRDefault="003D2E17">
      <w:pPr>
        <w:pBdr>
          <w:top w:val="nil"/>
          <w:left w:val="nil"/>
          <w:bottom w:val="nil"/>
          <w:right w:val="nil"/>
          <w:between w:val="nil"/>
        </w:pBdr>
        <w:spacing w:line="240" w:lineRule="auto"/>
        <w:ind w:left="0" w:hanging="2"/>
        <w:jc w:val="center"/>
        <w:rPr>
          <w:rFonts w:ascii="Arial" w:eastAsia="Arial" w:hAnsi="Arial" w:cs="Arial"/>
          <w:sz w:val="24"/>
          <w:szCs w:val="24"/>
        </w:rPr>
      </w:pPr>
      <w:bookmarkStart w:id="13" w:name="_heading=h.1ksv4uv" w:colFirst="0" w:colLast="0"/>
      <w:bookmarkEnd w:id="13"/>
      <w:r>
        <w:rPr>
          <w:rFonts w:ascii="Arial" w:eastAsia="Arial" w:hAnsi="Arial" w:cs="Arial"/>
          <w:noProof/>
          <w:sz w:val="24"/>
          <w:szCs w:val="24"/>
        </w:rPr>
        <w:drawing>
          <wp:inline distT="114300" distB="114300" distL="114300" distR="114300">
            <wp:extent cx="8863200" cy="33655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8863200" cy="3365500"/>
                    </a:xfrm>
                    <a:prstGeom prst="rect">
                      <a:avLst/>
                    </a:prstGeom>
                    <a:ln/>
                  </pic:spPr>
                </pic:pic>
              </a:graphicData>
            </a:graphic>
          </wp:inline>
        </w:drawing>
      </w:r>
    </w:p>
    <w:p w:rsidR="00BE082D" w:rsidRDefault="00BE082D">
      <w:pPr>
        <w:tabs>
          <w:tab w:val="left" w:pos="756"/>
        </w:tabs>
        <w:ind w:left="0" w:hanging="2"/>
        <w:rPr>
          <w:rFonts w:ascii="Arial" w:eastAsia="Arial" w:hAnsi="Arial" w:cs="Arial"/>
          <w:sz w:val="24"/>
          <w:szCs w:val="24"/>
        </w:rPr>
      </w:pPr>
      <w:bookmarkStart w:id="14" w:name="_heading=h.3rdcrjn" w:colFirst="0" w:colLast="0"/>
      <w:bookmarkEnd w:id="14"/>
    </w:p>
    <w:p w:rsidR="00BE082D" w:rsidRDefault="00BE082D">
      <w:pPr>
        <w:suppressAutoHyphens w:val="0"/>
        <w:overflowPunct/>
        <w:autoSpaceDE/>
        <w:autoSpaceDN/>
        <w:adjustRightInd/>
        <w:ind w:leftChars="0" w:left="0" w:firstLineChars="0"/>
        <w:textDirection w:val="lrTb"/>
        <w:textAlignment w:val="auto"/>
        <w:outlineLvl w:val="9"/>
        <w:rPr>
          <w:rFonts w:ascii="Arial" w:eastAsia="Arial" w:hAnsi="Arial" w:cs="Arial"/>
          <w:sz w:val="24"/>
          <w:szCs w:val="24"/>
        </w:rPr>
      </w:pPr>
      <w:r>
        <w:rPr>
          <w:rFonts w:ascii="Arial" w:eastAsia="Arial" w:hAnsi="Arial" w:cs="Arial"/>
          <w:sz w:val="24"/>
          <w:szCs w:val="24"/>
        </w:rPr>
        <w:br w:type="page"/>
      </w:r>
    </w:p>
    <w:p w:rsidR="00403F9C" w:rsidRPr="00C1159F" w:rsidRDefault="00C1159F">
      <w:pPr>
        <w:tabs>
          <w:tab w:val="left" w:pos="756"/>
        </w:tabs>
        <w:ind w:left="1" w:hanging="3"/>
        <w:rPr>
          <w:rFonts w:ascii="Arial" w:eastAsia="Arial" w:hAnsi="Arial" w:cs="Arial"/>
          <w:b/>
          <w:sz w:val="32"/>
          <w:szCs w:val="32"/>
        </w:rPr>
      </w:pPr>
      <w:bookmarkStart w:id="15" w:name="_GoBack"/>
      <w:r w:rsidRPr="00C1159F">
        <w:rPr>
          <w:rFonts w:ascii="Arial" w:eastAsia="Arial" w:hAnsi="Arial" w:cs="Arial"/>
          <w:b/>
          <w:sz w:val="32"/>
          <w:szCs w:val="32"/>
        </w:rPr>
        <w:lastRenderedPageBreak/>
        <w:t>REDACTED TEXT under FOIA Section 43 Commercial Interests</w:t>
      </w:r>
      <w:bookmarkEnd w:id="15"/>
    </w:p>
    <w:sectPr w:rsidR="00403F9C" w:rsidRPr="00C1159F">
      <w:pgSz w:w="16834" w:h="11909" w:orient="landscape"/>
      <w:pgMar w:top="1440" w:right="1440" w:bottom="1440"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8FF" w:rsidRDefault="009228FF">
      <w:pPr>
        <w:spacing w:after="0" w:line="240" w:lineRule="auto"/>
        <w:ind w:left="0" w:hanging="2"/>
      </w:pPr>
      <w:r>
        <w:separator/>
      </w:r>
    </w:p>
  </w:endnote>
  <w:endnote w:type="continuationSeparator" w:id="0">
    <w:p w:rsidR="009228FF" w:rsidRDefault="009228F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9C" w:rsidRDefault="00403F9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9C" w:rsidRDefault="00403F9C">
    <w:pPr>
      <w:tabs>
        <w:tab w:val="center" w:pos="4513"/>
        <w:tab w:val="right" w:pos="9026"/>
      </w:tabs>
      <w:spacing w:after="0" w:line="240" w:lineRule="auto"/>
      <w:ind w:left="0" w:hanging="2"/>
      <w:rPr>
        <w:rFonts w:ascii="Calibri" w:eastAsia="Calibri" w:hAnsi="Calibri" w:cs="Calibri"/>
      </w:rPr>
    </w:pPr>
  </w:p>
  <w:p w:rsidR="00403F9C" w:rsidRDefault="003D2E17">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rsidR="00403F9C" w:rsidRDefault="003D2E17">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4498B">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403F9C" w:rsidRDefault="003D2E17">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9C" w:rsidRDefault="003D2E17">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rsidR="00403F9C" w:rsidRDefault="003D2E17">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4498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03F9C" w:rsidRDefault="003D2E17">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p w:rsidR="00403F9C" w:rsidRDefault="00403F9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8FF" w:rsidRDefault="009228FF">
      <w:pPr>
        <w:spacing w:after="0" w:line="240" w:lineRule="auto"/>
        <w:ind w:left="0" w:hanging="2"/>
      </w:pPr>
      <w:r>
        <w:separator/>
      </w:r>
    </w:p>
  </w:footnote>
  <w:footnote w:type="continuationSeparator" w:id="0">
    <w:p w:rsidR="009228FF" w:rsidRDefault="009228F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9C" w:rsidRDefault="00403F9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9C" w:rsidRDefault="003D2E17">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rsidR="00403F9C" w:rsidRDefault="003D2E17">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 Ref:</w:t>
    </w:r>
  </w:p>
  <w:p w:rsidR="00403F9C" w:rsidRDefault="003D2E17">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rsidR="00403F9C" w:rsidRDefault="00403F9C">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9C" w:rsidRDefault="003D2E17">
    <w:pP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b/>
        <w:color w:val="000000"/>
        <w:sz w:val="20"/>
        <w:szCs w:val="20"/>
      </w:rPr>
      <w:t>Call-Off Schedule 5 (Pricing Details)</w:t>
    </w:r>
  </w:p>
  <w:p w:rsidR="00403F9C" w:rsidRDefault="003D2E17">
    <w:pPr>
      <w:tabs>
        <w:tab w:val="center" w:pos="4513"/>
        <w:tab w:val="right" w:pos="9026"/>
      </w:tabs>
      <w:spacing w:after="0" w:line="240" w:lineRule="auto"/>
      <w:ind w:left="0" w:hanging="2"/>
      <w:jc w:val="left"/>
      <w:rPr>
        <w:rFonts w:ascii="Arial" w:eastAsia="Arial" w:hAnsi="Arial" w:cs="Arial"/>
        <w:color w:val="000000"/>
        <w:sz w:val="20"/>
        <w:szCs w:val="20"/>
      </w:rPr>
    </w:pPr>
    <w:bookmarkStart w:id="12" w:name="_heading=h.1fob9te" w:colFirst="0" w:colLast="0"/>
    <w:bookmarkEnd w:id="12"/>
    <w:r>
      <w:rPr>
        <w:rFonts w:ascii="Arial" w:eastAsia="Arial" w:hAnsi="Arial" w:cs="Arial"/>
        <w:color w:val="000000"/>
        <w:sz w:val="20"/>
        <w:szCs w:val="20"/>
      </w:rPr>
      <w:t xml:space="preserve">Call-Off Ref: </w:t>
    </w:r>
  </w:p>
  <w:p w:rsidR="00403F9C" w:rsidRDefault="003D2E17">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Crown Copyright 2021</w:t>
    </w:r>
  </w:p>
  <w:p w:rsidR="00403F9C" w:rsidRDefault="00403F9C">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80345"/>
    <w:multiLevelType w:val="multilevel"/>
    <w:tmpl w:val="1BDABBC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7B96F17"/>
    <w:multiLevelType w:val="multilevel"/>
    <w:tmpl w:val="12E081E0"/>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F9C"/>
    <w:rsid w:val="0024498B"/>
    <w:rsid w:val="003D2E17"/>
    <w:rsid w:val="00403F9C"/>
    <w:rsid w:val="009228FF"/>
    <w:rsid w:val="00BE082D"/>
    <w:rsid w:val="00C115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DB7849-B441-4718-AB12-AA3AF706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tabs>
        <w:tab w:val="num" w:pos="720"/>
      </w:tabs>
    </w:pPr>
    <w:rPr>
      <w:rFonts w:ascii="Calibri" w:eastAsia="STZhongsong" w:hAnsi="Calibri"/>
    </w:rPr>
  </w:style>
  <w:style w:type="paragraph" w:styleId="BodyTextIndent2">
    <w:name w:val="Body Text Indent 2"/>
    <w:basedOn w:val="HouseStyleBase"/>
    <w:pPr>
      <w:tabs>
        <w:tab w:val="num" w:pos="1440"/>
      </w:tabs>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tabs>
        <w:tab w:val="num" w:pos="360"/>
      </w:tabs>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tabs>
        <w:tab w:val="num" w:pos="2160"/>
      </w:tabs>
      <w:spacing w:after="120"/>
    </w:pPr>
    <w:rPr>
      <w:rFonts w:ascii="Calibri" w:eastAsia="STZhongsong" w:hAnsi="Calibri"/>
    </w:rPr>
  </w:style>
  <w:style w:type="paragraph" w:customStyle="1" w:styleId="DefinitionNumbering2">
    <w:name w:val="Definition Numbering 2"/>
    <w:basedOn w:val="HouseStyleBase"/>
    <w:pPr>
      <w:tabs>
        <w:tab w:val="num" w:pos="2880"/>
      </w:tabs>
      <w:outlineLvl w:val="1"/>
    </w:pPr>
  </w:style>
  <w:style w:type="paragraph" w:customStyle="1" w:styleId="DefinitionNumbering3">
    <w:name w:val="Definition Numbering 3"/>
    <w:basedOn w:val="HouseStyleBase"/>
    <w:pPr>
      <w:tabs>
        <w:tab w:val="num" w:pos="3600"/>
      </w:tabs>
      <w:outlineLvl w:val="2"/>
    </w:pPr>
  </w:style>
  <w:style w:type="paragraph" w:customStyle="1" w:styleId="DefinitionNumbering4">
    <w:name w:val="Definition Numbering 4"/>
    <w:basedOn w:val="HouseStyleBase"/>
    <w:pPr>
      <w:tabs>
        <w:tab w:val="num" w:pos="4320"/>
      </w:tabs>
      <w:outlineLvl w:val="3"/>
    </w:pPr>
  </w:style>
  <w:style w:type="paragraph" w:customStyle="1" w:styleId="DefinitionNumbering5">
    <w:name w:val="Definition Numbering 5"/>
    <w:basedOn w:val="HouseStyleBase"/>
    <w:pPr>
      <w:tabs>
        <w:tab w:val="num" w:pos="5040"/>
      </w:tabs>
      <w:outlineLvl w:val="4"/>
    </w:pPr>
  </w:style>
  <w:style w:type="paragraph" w:customStyle="1" w:styleId="DefinitionNumbering6">
    <w:name w:val="Definition Numbering 6"/>
    <w:basedOn w:val="HouseStyleBase"/>
    <w:pPr>
      <w:tabs>
        <w:tab w:val="num" w:pos="5760"/>
      </w:tabs>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tabs>
        <w:tab w:val="clear" w:pos="720"/>
      </w:tabs>
      <w:overflowPunct w:val="0"/>
      <w:autoSpaceDE w:val="0"/>
      <w:autoSpaceDN w:val="0"/>
      <w:spacing w:after="120" w:line="360" w:lineRule="auto"/>
      <w:ind w:left="283"/>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table" w:customStyle="1" w:styleId="a4">
    <w:basedOn w:val="TableNormal"/>
    <w:rPr>
      <w:rFonts w:ascii="Cambria" w:eastAsia="Cambria" w:hAnsi="Cambria" w:cs="Cambria"/>
      <w:b/>
      <w:color w:val="FFFFFF"/>
    </w:rPr>
    <w:tblPr>
      <w:tblStyleRowBandSize w:val="1"/>
      <w:tblStyleColBandSize w:val="1"/>
    </w:tblPr>
  </w:style>
  <w:style w:type="table" w:customStyle="1" w:styleId="a5">
    <w:basedOn w:val="TableNormal"/>
    <w:rPr>
      <w:rFonts w:ascii="Cambria" w:eastAsia="Cambria" w:hAnsi="Cambria" w:cs="Cambria"/>
      <w:b/>
      <w:color w:val="FFFFFF"/>
    </w:rPr>
    <w:tblPr>
      <w:tblStyleRowBandSize w:val="1"/>
      <w:tblStyleColBandSize w:val="1"/>
    </w:tblPr>
  </w:style>
  <w:style w:type="table" w:customStyle="1" w:styleId="a6">
    <w:basedOn w:val="TableNormal"/>
    <w:rPr>
      <w:rFonts w:ascii="Cambria" w:eastAsia="Cambria" w:hAnsi="Cambria" w:cs="Cambria"/>
      <w:b/>
      <w:color w:val="FFFFFF"/>
    </w:rPr>
    <w:tblPr>
      <w:tblStyleRowBandSize w:val="1"/>
      <w:tblStyleColBandSize w:val="1"/>
    </w:tblPr>
  </w:style>
  <w:style w:type="table" w:customStyle="1" w:styleId="a7">
    <w:basedOn w:val="TableNormal"/>
    <w:rPr>
      <w:rFonts w:ascii="Cambria" w:eastAsia="Cambria" w:hAnsi="Cambria" w:cs="Cambria"/>
      <w:b/>
      <w:color w:val="FFFFFF"/>
    </w:rPr>
    <w:tblPr>
      <w:tblStyleRowBandSize w:val="1"/>
      <w:tblStyleColBandSize w:val="1"/>
    </w:tblPr>
  </w:style>
  <w:style w:type="table" w:customStyle="1" w:styleId="a8">
    <w:basedOn w:val="TableNormal"/>
    <w:rPr>
      <w:rFonts w:ascii="Cambria" w:eastAsia="Cambria" w:hAnsi="Cambria" w:cs="Cambria"/>
      <w:b/>
      <w:color w:val="FFFFFF"/>
    </w:rPr>
    <w:tblPr>
      <w:tblStyleRowBandSize w:val="1"/>
      <w:tblStyleColBandSize w:val="1"/>
    </w:tblPr>
  </w:style>
  <w:style w:type="table" w:customStyle="1" w:styleId="a9">
    <w:basedOn w:val="TableNormal"/>
    <w:rPr>
      <w:rFonts w:ascii="Cambria" w:eastAsia="Cambria" w:hAnsi="Cambria" w:cs="Cambria"/>
      <w:b/>
      <w:color w:val="FFFFFF"/>
    </w:rPr>
    <w:tblPr>
      <w:tblStyleRowBandSize w:val="1"/>
      <w:tblStyleColBandSize w:val="1"/>
    </w:tblPr>
  </w:style>
  <w:style w:type="paragraph" w:styleId="Revision">
    <w:name w:val="Revision"/>
    <w:hidden/>
    <w:uiPriority w:val="99"/>
    <w:semiHidden/>
    <w:rsid w:val="001273C6"/>
    <w:pPr>
      <w:spacing w:after="0" w:line="240" w:lineRule="auto"/>
      <w:ind w:firstLine="0"/>
      <w:jc w:val="left"/>
    </w:pPr>
    <w:rPr>
      <w:position w:val="-1"/>
      <w:lang w:eastAsia="en-US"/>
    </w:rPr>
  </w:style>
  <w:style w:type="table" w:customStyle="1" w:styleId="aa">
    <w:basedOn w:val="TableNormal"/>
    <w:rPr>
      <w:rFonts w:ascii="Cambria" w:eastAsia="Cambria" w:hAnsi="Cambria" w:cs="Cambria"/>
      <w:b/>
      <w:color w:val="FFFFFF"/>
    </w:rPr>
    <w:tblPr>
      <w:tblStyleRowBandSize w:val="1"/>
      <w:tblStyleColBandSize w:val="1"/>
    </w:tblPr>
  </w:style>
  <w:style w:type="table" w:customStyle="1" w:styleId="ab">
    <w:basedOn w:val="TableNormal"/>
    <w:rPr>
      <w:rFonts w:ascii="Cambria" w:eastAsia="Cambria" w:hAnsi="Cambria" w:cs="Cambria"/>
      <w:b/>
      <w:color w:val="FFFFFF"/>
    </w:rPr>
    <w:tblPr>
      <w:tblStyleRowBandSize w:val="1"/>
      <w:tblStyleColBandSize w:val="1"/>
    </w:tblPr>
  </w:style>
  <w:style w:type="table" w:customStyle="1" w:styleId="ac">
    <w:basedOn w:val="TableNormal"/>
    <w:rPr>
      <w:rFonts w:ascii="Cambria" w:eastAsia="Cambria" w:hAnsi="Cambria" w:cs="Cambria"/>
      <w:b/>
      <w:color w:val="FFFFFF"/>
    </w:rPr>
    <w:tblPr>
      <w:tblStyleRowBandSize w:val="1"/>
      <w:tblStyleColBandSize w:val="1"/>
    </w:tblPr>
  </w:style>
  <w:style w:type="table" w:customStyle="1" w:styleId="ad">
    <w:basedOn w:val="TableNormal"/>
    <w:rPr>
      <w:rFonts w:ascii="Cambria" w:eastAsia="Cambria" w:hAnsi="Cambria" w:cs="Cambria"/>
      <w:b/>
      <w:color w:val="FFFFFF"/>
    </w:rPr>
    <w:tblPr>
      <w:tblStyleRowBandSize w:val="1"/>
      <w:tblStyleColBandSize w:val="1"/>
    </w:tblPr>
  </w:style>
  <w:style w:type="table" w:customStyle="1" w:styleId="ae">
    <w:basedOn w:val="TableNormal"/>
    <w:rPr>
      <w:rFonts w:ascii="Cambria" w:eastAsia="Cambria" w:hAnsi="Cambria" w:cs="Cambria"/>
      <w:b/>
      <w:color w:val="FFFFFF"/>
    </w:rPr>
    <w:tblPr>
      <w:tblStyleRowBandSize w:val="1"/>
      <w:tblStyleColBandSize w:val="1"/>
    </w:tblPr>
  </w:style>
  <w:style w:type="table" w:customStyle="1" w:styleId="af">
    <w:basedOn w:val="TableNormal"/>
    <w:rPr>
      <w:rFonts w:ascii="Cambria" w:eastAsia="Cambria" w:hAnsi="Cambria" w:cs="Cambria"/>
      <w:b/>
      <w:color w:val="FFFFFF"/>
    </w:rPr>
    <w:tblPr>
      <w:tblStyleRowBandSize w:val="1"/>
      <w:tblStyleColBandSize w:val="1"/>
    </w:tblPr>
  </w:style>
  <w:style w:type="table" w:customStyle="1" w:styleId="af0">
    <w:basedOn w:val="TableNormal"/>
    <w:rPr>
      <w:rFonts w:ascii="Cambria" w:eastAsia="Cambria" w:hAnsi="Cambria" w:cs="Cambria"/>
      <w:b/>
      <w:color w:val="FFFFFF"/>
    </w:rPr>
    <w:tblPr>
      <w:tblStyleRowBandSize w:val="1"/>
      <w:tblStyleColBandSize w:val="1"/>
    </w:tblPr>
  </w:style>
  <w:style w:type="table" w:customStyle="1" w:styleId="af1">
    <w:basedOn w:val="TableNormal"/>
    <w:rPr>
      <w:rFonts w:ascii="Cambria" w:eastAsia="Cambria" w:hAnsi="Cambria" w:cs="Cambria"/>
      <w:b/>
      <w:color w:val="FFFFFF"/>
    </w:rPr>
    <w:tblPr>
      <w:tblStyleRowBandSize w:val="1"/>
      <w:tblStyleColBandSize w:val="1"/>
    </w:tblPr>
  </w:style>
  <w:style w:type="table" w:customStyle="1" w:styleId="af2">
    <w:basedOn w:val="TableNormal"/>
    <w:rPr>
      <w:rFonts w:ascii="Cambria" w:eastAsia="Cambria" w:hAnsi="Cambria" w:cs="Cambria"/>
      <w:b/>
      <w:color w:val="FFFFFF"/>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Ks5d391UfS9j8WAg0A3kazVuxQ==">CgMxLjAyCWguMXk4MTB0dzIIaC56MzM3eWEyCGguZ2pkZ3hzMgloLjMwajB6bGwyCWguM3pueXNoNzIJaC4yZXQ5MnAwMghoLnR5amN3dDIJaC4zZHk2dmttMgloLjF0M2g1c2YyCWguNGQzNG9nODIJaC4yczhleW8xMgloLjE3ZHA4dnUyCWguMWtzdjR1djIJaC4xa3N2NHV2MgloLjNyZGNyam4yCWguMWZvYjl0ZTgAciExZFFrdUoxblpRZHJXM3pTZjc5YXh3cE5VQ3dHTi1ic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1858</Words>
  <Characters>10594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Tracy Starr</cp:lastModifiedBy>
  <cp:revision>3</cp:revision>
  <dcterms:created xsi:type="dcterms:W3CDTF">2025-07-18T06:16:00Z</dcterms:created>
  <dcterms:modified xsi:type="dcterms:W3CDTF">2025-07-18T06:18:00Z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0x0101002764AF0AF017AC4E89BEB950B1BC77C2</vt:lpwstr>
  </property>
  <property fmtid="{D5CDD505-2E9C-101B-9397-08002B2CF9AE}" pid="9" name="_dlc_DocIdItemGuid">
    <vt:lpwstr>9d7b0a0c-34bd-4fa3-abb4-79be99c4f1a5</vt:lpwstr>
  </property>
  <property fmtid="{D5CDD505-2E9C-101B-9397-08002B2CF9AE}" pid="10" name="MediaServiceImageTags">
    <vt:lpwstr/>
  </property>
</Properties>
</file>